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CFD1" w14:textId="3BC540D0" w:rsidR="00622958" w:rsidRPr="00622958" w:rsidRDefault="00622958" w:rsidP="00622958">
      <w:pPr>
        <w:shd w:val="clear" w:color="auto" w:fill="FFFFFF"/>
        <w:spacing w:before="100" w:beforeAutospacing="1" w:after="100" w:afterAutospacing="1" w:line="240" w:lineRule="auto"/>
        <w:outlineLvl w:val="2"/>
        <w:rPr>
          <w:rFonts w:ascii="Open Sans" w:eastAsia="Times New Roman" w:hAnsi="Open Sans" w:cs="Open Sans"/>
          <w:b/>
          <w:bCs/>
          <w:color w:val="000000"/>
          <w:sz w:val="27"/>
          <w:szCs w:val="27"/>
          <w:lang w:eastAsia="en-GB"/>
        </w:rPr>
      </w:pPr>
      <w:r w:rsidRPr="00622958">
        <w:rPr>
          <w:rFonts w:ascii="Open Sans" w:eastAsia="Times New Roman" w:hAnsi="Open Sans" w:cs="Open Sans"/>
          <w:b/>
          <w:bCs/>
          <w:color w:val="000000"/>
          <w:sz w:val="27"/>
          <w:szCs w:val="27"/>
          <w:lang w:eastAsia="en-GB"/>
        </w:rPr>
        <w:t xml:space="preserve">Data Processing Agreement — </w:t>
      </w:r>
      <w:r>
        <w:rPr>
          <w:rFonts w:ascii="Open Sans" w:eastAsia="Times New Roman" w:hAnsi="Open Sans" w:cs="Open Sans"/>
          <w:b/>
          <w:bCs/>
          <w:color w:val="000000"/>
          <w:sz w:val="27"/>
          <w:szCs w:val="27"/>
          <w:lang w:eastAsia="en-GB"/>
        </w:rPr>
        <w:t>365Automate</w:t>
      </w:r>
    </w:p>
    <w:p w14:paraId="494E9098" w14:textId="7101D0F3"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This Data Processing Agreement (“</w:t>
      </w:r>
      <w:r w:rsidRPr="00622958">
        <w:rPr>
          <w:rFonts w:ascii="Open Sans" w:eastAsia="Times New Roman" w:hAnsi="Open Sans" w:cs="Open Sans"/>
          <w:b/>
          <w:bCs/>
          <w:color w:val="000000"/>
          <w:sz w:val="24"/>
          <w:szCs w:val="24"/>
          <w:lang w:eastAsia="en-GB"/>
        </w:rPr>
        <w:t>Agreement</w:t>
      </w:r>
      <w:r w:rsidRPr="00622958">
        <w:rPr>
          <w:rFonts w:ascii="Open Sans" w:eastAsia="Times New Roman" w:hAnsi="Open Sans" w:cs="Open Sans"/>
          <w:color w:val="000000"/>
          <w:sz w:val="24"/>
          <w:szCs w:val="24"/>
          <w:lang w:eastAsia="en-GB"/>
        </w:rPr>
        <w:t>“) forms part of the Contract for</w:t>
      </w:r>
      <w:r w:rsidRPr="00622958">
        <w:rPr>
          <w:rFonts w:ascii="Open Sans" w:eastAsia="Times New Roman" w:hAnsi="Open Sans" w:cs="Open Sans"/>
          <w:color w:val="000000"/>
          <w:sz w:val="24"/>
          <w:szCs w:val="24"/>
          <w:lang w:eastAsia="en-GB"/>
        </w:rPr>
        <w:br/>
        <w:t>Services (“</w:t>
      </w:r>
      <w:r w:rsidRPr="00622958">
        <w:rPr>
          <w:rFonts w:ascii="Open Sans" w:eastAsia="Times New Roman" w:hAnsi="Open Sans" w:cs="Open Sans"/>
          <w:b/>
          <w:bCs/>
          <w:color w:val="000000"/>
          <w:sz w:val="24"/>
          <w:szCs w:val="24"/>
          <w:lang w:eastAsia="en-GB"/>
        </w:rPr>
        <w:t>Principal Agreement</w:t>
      </w:r>
      <w:r w:rsidRPr="00622958">
        <w:rPr>
          <w:rFonts w:ascii="Open Sans" w:eastAsia="Times New Roman" w:hAnsi="Open Sans" w:cs="Open Sans"/>
          <w:color w:val="000000"/>
          <w:sz w:val="24"/>
          <w:szCs w:val="24"/>
          <w:lang w:eastAsia="en-GB"/>
        </w:rPr>
        <w:t>“) between</w:t>
      </w:r>
      <w:r w:rsidRPr="00622958">
        <w:rPr>
          <w:rFonts w:ascii="Open Sans" w:eastAsia="Times New Roman" w:hAnsi="Open Sans" w:cs="Open Sans"/>
          <w:color w:val="000000"/>
          <w:sz w:val="24"/>
          <w:szCs w:val="24"/>
          <w:lang w:eastAsia="en-GB"/>
        </w:rPr>
        <w:br/>
      </w:r>
      <w:r w:rsidR="005613EC" w:rsidRPr="005613EC">
        <w:rPr>
          <w:rFonts w:ascii="Open Sans" w:eastAsia="Times New Roman" w:hAnsi="Open Sans" w:cs="Open Sans"/>
          <w:b/>
          <w:bCs/>
          <w:color w:val="000000"/>
          <w:sz w:val="24"/>
          <w:szCs w:val="24"/>
          <w:lang w:eastAsia="en-GB"/>
        </w:rPr>
        <w:t>BAG Holding GmbH</w:t>
      </w:r>
      <w:r w:rsidR="005613EC">
        <w:rPr>
          <w:rFonts w:ascii="Open Sans" w:eastAsia="Times New Roman" w:hAnsi="Open Sans" w:cs="Open Sans"/>
          <w:color w:val="000000"/>
          <w:sz w:val="24"/>
          <w:szCs w:val="24"/>
          <w:lang w:eastAsia="en-GB"/>
        </w:rPr>
        <w:t xml:space="preserve"> </w:t>
      </w:r>
      <w:r w:rsidRPr="00622958">
        <w:rPr>
          <w:rFonts w:ascii="Open Sans" w:eastAsia="Times New Roman" w:hAnsi="Open Sans" w:cs="Open Sans"/>
          <w:color w:val="000000"/>
          <w:sz w:val="24"/>
          <w:szCs w:val="24"/>
          <w:lang w:eastAsia="en-GB"/>
        </w:rPr>
        <w:t>(the “</w:t>
      </w:r>
      <w:r w:rsidRPr="00622958">
        <w:rPr>
          <w:rFonts w:ascii="Open Sans" w:eastAsia="Times New Roman" w:hAnsi="Open Sans" w:cs="Open Sans"/>
          <w:b/>
          <w:bCs/>
          <w:color w:val="000000"/>
          <w:sz w:val="24"/>
          <w:szCs w:val="24"/>
          <w:lang w:eastAsia="en-GB"/>
        </w:rPr>
        <w:t>Company</w:t>
      </w:r>
      <w:r w:rsidRPr="00622958">
        <w:rPr>
          <w:rFonts w:ascii="Open Sans" w:eastAsia="Times New Roman" w:hAnsi="Open Sans" w:cs="Open Sans"/>
          <w:color w:val="000000"/>
          <w:sz w:val="24"/>
          <w:szCs w:val="24"/>
          <w:lang w:eastAsia="en-GB"/>
        </w:rPr>
        <w:t>”) and</w:t>
      </w:r>
      <w:r>
        <w:rPr>
          <w:rFonts w:ascii="Open Sans" w:eastAsia="Times New Roman" w:hAnsi="Open Sans" w:cs="Open Sans"/>
          <w:color w:val="000000"/>
          <w:sz w:val="24"/>
          <w:szCs w:val="24"/>
          <w:lang w:eastAsia="en-GB"/>
        </w:rPr>
        <w:t xml:space="preserve"> </w:t>
      </w:r>
      <w:r w:rsidRPr="00622958">
        <w:rPr>
          <w:rFonts w:ascii="Open Sans" w:eastAsia="Times New Roman" w:hAnsi="Open Sans" w:cs="Open Sans"/>
          <w:b/>
          <w:bCs/>
          <w:color w:val="000000"/>
          <w:sz w:val="24"/>
          <w:szCs w:val="24"/>
          <w:lang w:eastAsia="en-GB"/>
        </w:rPr>
        <w:t>365Automate Ltd</w:t>
      </w:r>
      <w:r>
        <w:rPr>
          <w:rFonts w:ascii="Open Sans" w:eastAsia="Times New Roman" w:hAnsi="Open Sans" w:cs="Open Sans"/>
          <w:color w:val="000000"/>
          <w:sz w:val="24"/>
          <w:szCs w:val="24"/>
          <w:lang w:eastAsia="en-GB"/>
        </w:rPr>
        <w:t xml:space="preserve"> </w:t>
      </w:r>
      <w:r w:rsidRPr="00622958">
        <w:rPr>
          <w:rFonts w:ascii="Open Sans" w:eastAsia="Times New Roman" w:hAnsi="Open Sans" w:cs="Open Sans"/>
          <w:color w:val="000000"/>
          <w:sz w:val="24"/>
          <w:szCs w:val="24"/>
          <w:lang w:eastAsia="en-GB"/>
        </w:rPr>
        <w:t>(the “</w:t>
      </w:r>
      <w:r w:rsidRPr="00622958">
        <w:rPr>
          <w:rFonts w:ascii="Open Sans" w:eastAsia="Times New Roman" w:hAnsi="Open Sans" w:cs="Open Sans"/>
          <w:b/>
          <w:bCs/>
          <w:color w:val="000000"/>
          <w:sz w:val="24"/>
          <w:szCs w:val="24"/>
          <w:lang w:eastAsia="en-GB"/>
        </w:rPr>
        <w:t>Data Processor</w:t>
      </w:r>
      <w:r w:rsidRPr="00622958">
        <w:rPr>
          <w:rFonts w:ascii="Open Sans" w:eastAsia="Times New Roman" w:hAnsi="Open Sans" w:cs="Open Sans"/>
          <w:color w:val="000000"/>
          <w:sz w:val="24"/>
          <w:szCs w:val="24"/>
          <w:lang w:eastAsia="en-GB"/>
        </w:rPr>
        <w:t>”)</w:t>
      </w:r>
      <w:r w:rsidRPr="00622958">
        <w:rPr>
          <w:rFonts w:ascii="Open Sans" w:eastAsia="Times New Roman" w:hAnsi="Open Sans" w:cs="Open Sans"/>
          <w:color w:val="000000"/>
          <w:sz w:val="24"/>
          <w:szCs w:val="24"/>
          <w:lang w:eastAsia="en-GB"/>
        </w:rPr>
        <w:br/>
        <w:t>(together as the “</w:t>
      </w:r>
      <w:r w:rsidRPr="00622958">
        <w:rPr>
          <w:rFonts w:ascii="Open Sans" w:eastAsia="Times New Roman" w:hAnsi="Open Sans" w:cs="Open Sans"/>
          <w:b/>
          <w:bCs/>
          <w:color w:val="000000"/>
          <w:sz w:val="24"/>
          <w:szCs w:val="24"/>
          <w:lang w:eastAsia="en-GB"/>
        </w:rPr>
        <w:t>Parties</w:t>
      </w:r>
      <w:r w:rsidRPr="00622958">
        <w:rPr>
          <w:rFonts w:ascii="Open Sans" w:eastAsia="Times New Roman" w:hAnsi="Open Sans" w:cs="Open Sans"/>
          <w:color w:val="000000"/>
          <w:sz w:val="24"/>
          <w:szCs w:val="24"/>
          <w:lang w:eastAsia="en-GB"/>
        </w:rPr>
        <w:t>”)</w:t>
      </w:r>
    </w:p>
    <w:p w14:paraId="660DE0DF"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WHEREAS</w:t>
      </w:r>
    </w:p>
    <w:p w14:paraId="3D78BA0E"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(A) The Company acts as a Data Controller.</w:t>
      </w:r>
    </w:p>
    <w:p w14:paraId="5B868C44"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(B) The Company wishes to subcontract certain Services, which imply the processing of personal data, to the Data Processor.</w:t>
      </w:r>
    </w:p>
    <w:p w14:paraId="53BFFD18"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(C) The Parties seek to implement a data processing agreement that complies with the requirements of the current legal framework in relation to data processing and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075D6D3F"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(D) The Parties wish to lay down their rights and obligations.</w:t>
      </w:r>
    </w:p>
    <w:p w14:paraId="2634B01A"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IT IS AGREED AS FOLLOWS:</w:t>
      </w:r>
    </w:p>
    <w:p w14:paraId="4E54A159"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 Definitions and Interpretation</w:t>
      </w:r>
    </w:p>
    <w:p w14:paraId="1FBEAD40"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 Unless otherwise defined herein, capitalized terms and expressions used in this Agreement shall have the following meaning:</w:t>
      </w:r>
    </w:p>
    <w:p w14:paraId="71092286"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1.1.1 “Agreement” means this Data Processing Agreement and all Schedules;</w:t>
      </w:r>
    </w:p>
    <w:p w14:paraId="067E6A51"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1.1.2 “Company Personal Data” means any Personal Data Processed by a Contracted Processor on behalf of Company pursuant to or in connection with the Principal Agreement;</w:t>
      </w:r>
    </w:p>
    <w:p w14:paraId="3AC14DD0"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1.1.3 “Contracted Processor” means a </w:t>
      </w:r>
      <w:proofErr w:type="spellStart"/>
      <w:r w:rsidRPr="00622958">
        <w:rPr>
          <w:rFonts w:ascii="Open Sans" w:eastAsia="Times New Roman" w:hAnsi="Open Sans" w:cs="Open Sans"/>
          <w:color w:val="000000"/>
          <w:sz w:val="24"/>
          <w:szCs w:val="24"/>
          <w:lang w:eastAsia="en-GB"/>
        </w:rPr>
        <w:t>Subprocessor</w:t>
      </w:r>
      <w:proofErr w:type="spellEnd"/>
      <w:r w:rsidRPr="00622958">
        <w:rPr>
          <w:rFonts w:ascii="Open Sans" w:eastAsia="Times New Roman" w:hAnsi="Open Sans" w:cs="Open Sans"/>
          <w:color w:val="000000"/>
          <w:sz w:val="24"/>
          <w:szCs w:val="24"/>
          <w:lang w:eastAsia="en-GB"/>
        </w:rPr>
        <w:t>;</w:t>
      </w:r>
    </w:p>
    <w:p w14:paraId="24D2FABB"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1.1.4 “Data Protection Laws” means EU Data Protection Laws and, to the extent applicable, the data protection or privacy laws of any other country;</w:t>
      </w:r>
    </w:p>
    <w:p w14:paraId="4CE9AD6D"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1.1.5 “EEA” means the European Economic Area;</w:t>
      </w:r>
    </w:p>
    <w:p w14:paraId="3BAF121A"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lastRenderedPageBreak/>
        <w:t>1.1.6 “EU Data Protection Laws” means EU Directive 95/46/EC, as transposed into domestic legislation of each Member State and as amended, replaced or superseded from time to time, including by the GDPR and laws implementing or supplementing the GDPR;</w:t>
      </w:r>
    </w:p>
    <w:p w14:paraId="465651AD"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1.1.7 “GDPR” means EU General Data Protection Regulation 2016/679;</w:t>
      </w:r>
    </w:p>
    <w:p w14:paraId="788838B4"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1.1.8 “Data Transfer” means:</w:t>
      </w:r>
    </w:p>
    <w:p w14:paraId="1CF44FF2"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1.1.8.1 a transfer of Company Personal Data from the Company to a Contracted Processor; or</w:t>
      </w:r>
    </w:p>
    <w:p w14:paraId="63ABC8CF"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1.1.8.2 an onward transfer of Company Personal Data from a Contracted Processor to a Subcontracted Processor, or between two establishments of a Contracted Processor, in each case, where such transfer would be prohibited by Data Protection Laws (or by the terms of data transfer agreements put in place to address the data transfer restrictions of Data Protection Laws);</w:t>
      </w:r>
    </w:p>
    <w:p w14:paraId="50439B7E" w14:textId="30B0DEAA"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1.1.9 “Services” means the </w:t>
      </w:r>
      <w:r>
        <w:rPr>
          <w:rFonts w:ascii="Open Sans" w:eastAsia="Times New Roman" w:hAnsi="Open Sans" w:cs="Open Sans"/>
          <w:color w:val="000000"/>
          <w:sz w:val="24"/>
          <w:szCs w:val="24"/>
          <w:lang w:eastAsia="en-GB"/>
        </w:rPr>
        <w:t>software</w:t>
      </w:r>
      <w:r w:rsidRPr="00622958">
        <w:rPr>
          <w:rFonts w:ascii="Open Sans" w:eastAsia="Times New Roman" w:hAnsi="Open Sans" w:cs="Open Sans"/>
          <w:color w:val="000000"/>
          <w:sz w:val="24"/>
          <w:szCs w:val="24"/>
          <w:lang w:eastAsia="en-GB"/>
        </w:rPr>
        <w:t xml:space="preserve"> services the Company provides.</w:t>
      </w:r>
    </w:p>
    <w:p w14:paraId="4CB11900"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1.1.10 “</w:t>
      </w:r>
      <w:proofErr w:type="spellStart"/>
      <w:r w:rsidRPr="00622958">
        <w:rPr>
          <w:rFonts w:ascii="Open Sans" w:eastAsia="Times New Roman" w:hAnsi="Open Sans" w:cs="Open Sans"/>
          <w:color w:val="000000"/>
          <w:sz w:val="24"/>
          <w:szCs w:val="24"/>
          <w:lang w:eastAsia="en-GB"/>
        </w:rPr>
        <w:t>Subprocessor</w:t>
      </w:r>
      <w:proofErr w:type="spellEnd"/>
      <w:r w:rsidRPr="00622958">
        <w:rPr>
          <w:rFonts w:ascii="Open Sans" w:eastAsia="Times New Roman" w:hAnsi="Open Sans" w:cs="Open Sans"/>
          <w:color w:val="000000"/>
          <w:sz w:val="24"/>
          <w:szCs w:val="24"/>
          <w:lang w:eastAsia="en-GB"/>
        </w:rPr>
        <w:t>” means any person appointed by or on behalf of Processor to process Personal Data on behalf of the Company in connection with the Agreement.</w:t>
      </w:r>
    </w:p>
    <w:p w14:paraId="4118E1E0"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1.2 The terms, “Commission”, “Controller”, “Data Subject”, “Member State”, “Personal Data”, “Personal Data Breach”, “Processing” and “Supervisory Authority” shall have the same meaning as in the GDPR, and their cognate terms shall be construed accordingly.</w:t>
      </w:r>
    </w:p>
    <w:p w14:paraId="729E3626"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2. Processing of Company Personal Data</w:t>
      </w:r>
    </w:p>
    <w:p w14:paraId="3A903F99"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2.1 Processor shall:</w:t>
      </w:r>
    </w:p>
    <w:p w14:paraId="4AE4AAB8"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2.1.1 comply with all applicable Data Protection Laws in the Processing of Company Personal Data; and</w:t>
      </w:r>
    </w:p>
    <w:p w14:paraId="41764264"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2.1.2 not Process Company Personal Data other than on the relevant Company’s documented instructions.</w:t>
      </w:r>
    </w:p>
    <w:p w14:paraId="70DDBF3B"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2.2 The Company instructs Processor to process Company Personal Data.</w:t>
      </w:r>
    </w:p>
    <w:p w14:paraId="05FE3086"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3. Processor Personnel</w:t>
      </w:r>
      <w:r w:rsidRPr="00622958">
        <w:rPr>
          <w:rFonts w:ascii="Open Sans" w:eastAsia="Times New Roman" w:hAnsi="Open Sans" w:cs="Open Sans"/>
          <w:color w:val="000000"/>
          <w:sz w:val="24"/>
          <w:szCs w:val="24"/>
          <w:lang w:eastAsia="en-GB"/>
        </w:rPr>
        <w:br/>
        <w:t xml:space="preserve">Processor shall take reasonable steps to ensure the reliability of any employee, agent or contractor of any Contracted Processor who may have access to the </w:t>
      </w:r>
      <w:r w:rsidRPr="00622958">
        <w:rPr>
          <w:rFonts w:ascii="Open Sans" w:eastAsia="Times New Roman" w:hAnsi="Open Sans" w:cs="Open Sans"/>
          <w:color w:val="000000"/>
          <w:sz w:val="24"/>
          <w:szCs w:val="24"/>
          <w:lang w:eastAsia="en-GB"/>
        </w:rPr>
        <w:lastRenderedPageBreak/>
        <w:t>Company Personal Data, ensuring in each case that access is strictly limited to those individuals who need to know / access the relevant Company Personal Data, as strictly necessary for the purposes of the Principal Agreement, and to comply with Applicable Laws in the context of that individual’s duties to the Contracted Processor, ensuring that all such individuals are subject to confidentiality undertakings or professional or statutory obligations of confidentiality.</w:t>
      </w:r>
    </w:p>
    <w:p w14:paraId="0398425A"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4. Security</w:t>
      </w:r>
    </w:p>
    <w:p w14:paraId="0336169E"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4.1 Taking into account the state of the art, the costs of implementation and the nature, scope, context and purposes of Processing as well as the risk of varying likelihood and severity for the rights and freedoms of natural persons, Processor shall in relation to the Company Personal Data implement appropriate technical and organizational measures to ensure a level of security appropriate to that risk, including, as appropriate, the measures referred to in Article 32(1) of the GDPR.</w:t>
      </w:r>
    </w:p>
    <w:p w14:paraId="4D0E6D69"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4.2 In assessing the appropriate level of security, Processor shall take account in particular of the risks that are presented by Processing, in particular from a Personal Data Breach.</w:t>
      </w:r>
    </w:p>
    <w:p w14:paraId="3D882FF6"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5. </w:t>
      </w:r>
      <w:proofErr w:type="spellStart"/>
      <w:r w:rsidRPr="00622958">
        <w:rPr>
          <w:rFonts w:ascii="Open Sans" w:eastAsia="Times New Roman" w:hAnsi="Open Sans" w:cs="Open Sans"/>
          <w:color w:val="000000"/>
          <w:sz w:val="24"/>
          <w:szCs w:val="24"/>
          <w:lang w:eastAsia="en-GB"/>
        </w:rPr>
        <w:t>Subprocessing</w:t>
      </w:r>
      <w:proofErr w:type="spellEnd"/>
    </w:p>
    <w:p w14:paraId="2CA4C08B"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5.1 Processor shall not appoint (or disclose any Company Personal Data to) any </w:t>
      </w:r>
      <w:proofErr w:type="spellStart"/>
      <w:r w:rsidRPr="00622958">
        <w:rPr>
          <w:rFonts w:ascii="Open Sans" w:eastAsia="Times New Roman" w:hAnsi="Open Sans" w:cs="Open Sans"/>
          <w:color w:val="000000"/>
          <w:sz w:val="24"/>
          <w:szCs w:val="24"/>
          <w:lang w:eastAsia="en-GB"/>
        </w:rPr>
        <w:t>Subprocessor</w:t>
      </w:r>
      <w:proofErr w:type="spellEnd"/>
      <w:r w:rsidRPr="00622958">
        <w:rPr>
          <w:rFonts w:ascii="Open Sans" w:eastAsia="Times New Roman" w:hAnsi="Open Sans" w:cs="Open Sans"/>
          <w:color w:val="000000"/>
          <w:sz w:val="24"/>
          <w:szCs w:val="24"/>
          <w:lang w:eastAsia="en-GB"/>
        </w:rPr>
        <w:t xml:space="preserve"> unless required or authorized by the Company.</w:t>
      </w:r>
    </w:p>
    <w:p w14:paraId="477B559C"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6. Data Subject Rights</w:t>
      </w:r>
    </w:p>
    <w:p w14:paraId="61901597"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6.1 Taking into account the nature of the Processing, Processor shall assist the Company by implementing appropriate technical and organisational measures, insofar as this is possible, for the fulfilment of the Company obligations, as reasonably understood by Company, to respond to requests to exercise Data Subject rights under the Data Protection Laws.</w:t>
      </w:r>
    </w:p>
    <w:p w14:paraId="6F992C7A"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6.2 Processor shall:</w:t>
      </w:r>
    </w:p>
    <w:p w14:paraId="624C305D"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6.2.1 promptly notify Company if it receives a request from a Data Subject under any Data Protection Law in respect of Company Personal Data; and</w:t>
      </w:r>
    </w:p>
    <w:p w14:paraId="1FE85D4B"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6.2.2 ensure that it does not respond to that request except on the documented instructions of Company or as required by Applicable Laws to which the Processor is subject, in which case Processor shall to the extent permitted by </w:t>
      </w:r>
      <w:r w:rsidRPr="00622958">
        <w:rPr>
          <w:rFonts w:ascii="Open Sans" w:eastAsia="Times New Roman" w:hAnsi="Open Sans" w:cs="Open Sans"/>
          <w:color w:val="000000"/>
          <w:sz w:val="24"/>
          <w:szCs w:val="24"/>
          <w:lang w:eastAsia="en-GB"/>
        </w:rPr>
        <w:lastRenderedPageBreak/>
        <w:t>Applicable Laws inform Company of that legal requirement before the Contracted Processor responds to the request.</w:t>
      </w:r>
    </w:p>
    <w:p w14:paraId="304FC33D"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7. Personal Data Breach</w:t>
      </w:r>
    </w:p>
    <w:p w14:paraId="7F01CF73"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7.1 Processor shall notify Company without undue delay upon Processor becoming aware of a Personal Data Breach affecting Company Personal Data, providing Company with sufficient information to allow the Company to meet any obligations to report or inform Data Subjects of the Personal Data Breach under the Data Protection Laws.</w:t>
      </w:r>
    </w:p>
    <w:p w14:paraId="03807C3F"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7.2 Processor shall co-operate with the Company and take reasonable commercial steps as are directed by Company to assist in the investigation, mitigation and remediation of each such Personal Data Breach.</w:t>
      </w:r>
    </w:p>
    <w:p w14:paraId="732B2DF6"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8. Data Protection Impact Assessment and Prior Consultation Processor shall provide reasonable assistance to the Company with any data protection impact assessments, and prior consultations with Supervising Authorities or other competent data privacy authorities, which Company reasonably considers to be required by article 35 or 36 of the GDPR or equivalent provisions of any other Data Protection Law, in each case solely in relation to Processing of Company Personal Data by, and taking into account the nature of the Processing and information available to, the Contracted Processors.</w:t>
      </w:r>
    </w:p>
    <w:p w14:paraId="5A8F3598"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9. Deletion or return of Company Personal Data</w:t>
      </w:r>
    </w:p>
    <w:p w14:paraId="22F08EAC" w14:textId="14FEA41B"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9.1 Subject to this section 9 Processor shall promptly and in any event within</w:t>
      </w:r>
      <w:r>
        <w:rPr>
          <w:rFonts w:ascii="Open Sans" w:eastAsia="Times New Roman" w:hAnsi="Open Sans" w:cs="Open Sans"/>
          <w:color w:val="000000"/>
          <w:sz w:val="24"/>
          <w:szCs w:val="24"/>
          <w:lang w:eastAsia="en-GB"/>
        </w:rPr>
        <w:t xml:space="preserve"> </w:t>
      </w:r>
      <w:r w:rsidRPr="00622958">
        <w:rPr>
          <w:rFonts w:ascii="Open Sans" w:eastAsia="Times New Roman" w:hAnsi="Open Sans" w:cs="Open Sans"/>
          <w:color w:val="000000"/>
          <w:sz w:val="24"/>
          <w:szCs w:val="24"/>
          <w:lang w:eastAsia="en-GB"/>
        </w:rPr>
        <w:t>10 business days of the date of cessation of any Services involving the Processing of Company Personal Data (the “Cessation Date”), delete and procure the deletion of all copies of those Company Personal Data.</w:t>
      </w:r>
    </w:p>
    <w:p w14:paraId="019E1D9A"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10. Audit rights</w:t>
      </w:r>
    </w:p>
    <w:p w14:paraId="29E24A81"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10.1 Subject to this section 10, Processor shall make available to the Company on request all information necessary to demonstrate compliance with this Agreement, and shall allow for and contribute to audits, including inspections, by the Company or an auditor mandated by the Company in relation to the Processing of the Company Personal Data by the Contracted Processors.</w:t>
      </w:r>
    </w:p>
    <w:p w14:paraId="6950FB1F"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10.2 Information and audit rights of the Company only arise under section 10.1 to the extent that the Agreement does not otherwise give them information and audit rights meeting the relevant requirements of Data Protection Law.</w:t>
      </w:r>
    </w:p>
    <w:p w14:paraId="62BECBCF"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11. Data Transfer</w:t>
      </w:r>
    </w:p>
    <w:p w14:paraId="4C9DA9CD"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lastRenderedPageBreak/>
        <w:t>11.1 The Processor may not transfer or authorize the transfer of Data to countries outside the EU and/or the European Economic Area (EEA) without the prior written consent of the Company. If personal data processed under this Agreement is transferred from a country within the European Economic Area to a country outside the European Economic Area, the Parties shall ensure that the personal data are adequately protected. To achieve this, the Parties shall, unless agreed otherwise, rely on EU approved standard contractual clauses for the transfer of personal data.</w:t>
      </w:r>
    </w:p>
    <w:p w14:paraId="57880300"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12. General Terms</w:t>
      </w:r>
    </w:p>
    <w:p w14:paraId="17E7F590"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12.1 Confidentiality. Each Party must keep this Agreement and information it receives about the other Party and its business in connection with this Agreement (“Confidential Information”) confidential and must not use or disclose that Confidential Information without the prior written consent of the other Party except to the extent that:</w:t>
      </w:r>
      <w:r w:rsidRPr="00622958">
        <w:rPr>
          <w:rFonts w:ascii="Open Sans" w:eastAsia="Times New Roman" w:hAnsi="Open Sans" w:cs="Open Sans"/>
          <w:color w:val="000000"/>
          <w:sz w:val="24"/>
          <w:szCs w:val="24"/>
          <w:lang w:eastAsia="en-GB"/>
        </w:rPr>
        <w:br/>
        <w:t>(a) disclosure is required by law;</w:t>
      </w:r>
      <w:r w:rsidRPr="00622958">
        <w:rPr>
          <w:rFonts w:ascii="Open Sans" w:eastAsia="Times New Roman" w:hAnsi="Open Sans" w:cs="Open Sans"/>
          <w:color w:val="000000"/>
          <w:sz w:val="24"/>
          <w:szCs w:val="24"/>
          <w:lang w:eastAsia="en-GB"/>
        </w:rPr>
        <w:br/>
        <w:t>(b) the relevant information is already in the public domain.</w:t>
      </w:r>
    </w:p>
    <w:p w14:paraId="38C451A1"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12.2 Notices. All notices and communications given under this Agreement must be in writing and will be delivered personally, sent by post or sent by email to the address or email address set out in the heading of this Agreement at such other address as notified from time to time by the Parties changing address.</w:t>
      </w:r>
    </w:p>
    <w:p w14:paraId="5E7C6FCB"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13. Governing Law and Jurisdiction</w:t>
      </w:r>
    </w:p>
    <w:p w14:paraId="66D9A492" w14:textId="4D03FEC5"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13.1 This Agreement is governed by the laws of </w:t>
      </w:r>
      <w:r w:rsidR="005613EC">
        <w:rPr>
          <w:rFonts w:ascii="Open Sans" w:eastAsia="Times New Roman" w:hAnsi="Open Sans" w:cs="Open Sans"/>
          <w:color w:val="000000"/>
          <w:sz w:val="24"/>
          <w:szCs w:val="24"/>
          <w:lang w:eastAsia="en-GB"/>
        </w:rPr>
        <w:t>Germany.</w:t>
      </w:r>
    </w:p>
    <w:p w14:paraId="468B6F79" w14:textId="4E909DFC"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 xml:space="preserve">13.2 Any dispute arising in connection with this Agreement, which the Parties will not be able to resolve amicably, will be submitted to the exclusive jurisdiction of the courts of </w:t>
      </w:r>
      <w:r w:rsidR="008962C8">
        <w:rPr>
          <w:rFonts w:ascii="Open Sans" w:eastAsia="Times New Roman" w:hAnsi="Open Sans" w:cs="Open Sans"/>
          <w:color w:val="000000"/>
          <w:sz w:val="24"/>
          <w:szCs w:val="24"/>
          <w:lang w:eastAsia="en-GB"/>
        </w:rPr>
        <w:t>Hesse</w:t>
      </w:r>
      <w:r w:rsidRPr="00622958">
        <w:rPr>
          <w:rFonts w:ascii="Open Sans" w:eastAsia="Times New Roman" w:hAnsi="Open Sans" w:cs="Open Sans"/>
          <w:color w:val="000000"/>
          <w:sz w:val="24"/>
          <w:szCs w:val="24"/>
          <w:lang w:eastAsia="en-GB"/>
        </w:rPr>
        <w:t xml:space="preserve">, subject to possible appeal to </w:t>
      </w:r>
      <w:r w:rsidR="008962C8" w:rsidRPr="008962C8">
        <w:rPr>
          <w:rFonts w:ascii="Open Sans" w:eastAsia="Times New Roman" w:hAnsi="Open Sans" w:cs="Open Sans"/>
          <w:color w:val="000000"/>
          <w:sz w:val="24"/>
          <w:szCs w:val="24"/>
          <w:lang w:eastAsia="en-GB"/>
        </w:rPr>
        <w:t>German Court of Justice</w:t>
      </w:r>
      <w:r w:rsidRPr="00622958">
        <w:rPr>
          <w:rFonts w:ascii="Open Sans" w:eastAsia="Times New Roman" w:hAnsi="Open Sans" w:cs="Open Sans"/>
          <w:color w:val="000000"/>
          <w:sz w:val="24"/>
          <w:szCs w:val="24"/>
          <w:lang w:eastAsia="en-GB"/>
        </w:rPr>
        <w:t>.</w:t>
      </w:r>
    </w:p>
    <w:p w14:paraId="6E404727" w14:textId="77777777" w:rsidR="00622958" w:rsidRPr="00622958"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IN WITNESS WHEREOF, this Agreement is entered into with effect from the date first set out below.</w:t>
      </w:r>
    </w:p>
    <w:p w14:paraId="24BCCB50" w14:textId="16EA7F68" w:rsidR="008F7007"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Your Company</w:t>
      </w:r>
    </w:p>
    <w:p w14:paraId="79D0753B" w14:textId="77777777" w:rsidR="008F7007" w:rsidRPr="00622958" w:rsidRDefault="008F7007" w:rsidP="008F7007">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Signature ______________________________</w:t>
      </w:r>
      <w:r w:rsidRPr="00622958">
        <w:rPr>
          <w:rFonts w:ascii="Open Sans" w:eastAsia="Times New Roman" w:hAnsi="Open Sans" w:cs="Open Sans"/>
          <w:color w:val="000000"/>
          <w:sz w:val="24"/>
          <w:szCs w:val="24"/>
          <w:lang w:eastAsia="en-GB"/>
        </w:rPr>
        <w:br/>
        <w:t>Name _________________________________</w:t>
      </w:r>
      <w:r w:rsidRPr="00622958">
        <w:rPr>
          <w:rFonts w:ascii="Open Sans" w:eastAsia="Times New Roman" w:hAnsi="Open Sans" w:cs="Open Sans"/>
          <w:color w:val="000000"/>
          <w:sz w:val="24"/>
          <w:szCs w:val="24"/>
          <w:lang w:eastAsia="en-GB"/>
        </w:rPr>
        <w:br/>
        <w:t>Title __________________________________</w:t>
      </w:r>
      <w:r w:rsidRPr="00622958">
        <w:rPr>
          <w:rFonts w:ascii="Open Sans" w:eastAsia="Times New Roman" w:hAnsi="Open Sans" w:cs="Open Sans"/>
          <w:color w:val="000000"/>
          <w:sz w:val="24"/>
          <w:szCs w:val="24"/>
          <w:lang w:eastAsia="en-GB"/>
        </w:rPr>
        <w:br/>
        <w:t>Date Signed ____________________________</w:t>
      </w:r>
    </w:p>
    <w:p w14:paraId="05AC764F" w14:textId="444362A1" w:rsidR="003D66E1" w:rsidRDefault="00622958"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br/>
      </w:r>
      <w:r w:rsidR="008F7007">
        <w:rPr>
          <w:rFonts w:ascii="Open Sans" w:eastAsia="Times New Roman" w:hAnsi="Open Sans" w:cs="Open Sans"/>
          <w:color w:val="000000"/>
          <w:sz w:val="24"/>
          <w:szCs w:val="24"/>
          <w:lang w:eastAsia="en-GB"/>
        </w:rPr>
        <w:br/>
      </w:r>
      <w:r w:rsidR="003D66E1" w:rsidRPr="00622958">
        <w:rPr>
          <w:rFonts w:ascii="Open Sans" w:eastAsia="Times New Roman" w:hAnsi="Open Sans" w:cs="Open Sans"/>
          <w:color w:val="000000"/>
          <w:sz w:val="24"/>
          <w:szCs w:val="24"/>
          <w:lang w:eastAsia="en-GB"/>
        </w:rPr>
        <w:lastRenderedPageBreak/>
        <w:br/>
        <w:t>Processor Company</w:t>
      </w:r>
    </w:p>
    <w:p w14:paraId="5EFB0CFD" w14:textId="77777777" w:rsidR="003D66E1" w:rsidRPr="00622958" w:rsidRDefault="003D66E1" w:rsidP="003D66E1">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sidRPr="00622958">
        <w:rPr>
          <w:rFonts w:ascii="Open Sans" w:eastAsia="Times New Roman" w:hAnsi="Open Sans" w:cs="Open Sans"/>
          <w:color w:val="000000"/>
          <w:sz w:val="24"/>
          <w:szCs w:val="24"/>
          <w:lang w:eastAsia="en-GB"/>
        </w:rPr>
        <w:t>Signature ______________________________</w:t>
      </w:r>
      <w:r w:rsidRPr="00622958">
        <w:rPr>
          <w:rFonts w:ascii="Open Sans" w:eastAsia="Times New Roman" w:hAnsi="Open Sans" w:cs="Open Sans"/>
          <w:color w:val="000000"/>
          <w:sz w:val="24"/>
          <w:szCs w:val="24"/>
          <w:lang w:eastAsia="en-GB"/>
        </w:rPr>
        <w:br/>
        <w:t>Name _________________________________</w:t>
      </w:r>
      <w:r w:rsidRPr="00622958">
        <w:rPr>
          <w:rFonts w:ascii="Open Sans" w:eastAsia="Times New Roman" w:hAnsi="Open Sans" w:cs="Open Sans"/>
          <w:color w:val="000000"/>
          <w:sz w:val="24"/>
          <w:szCs w:val="24"/>
          <w:lang w:eastAsia="en-GB"/>
        </w:rPr>
        <w:br/>
        <w:t>Title __________________________________</w:t>
      </w:r>
      <w:r w:rsidRPr="00622958">
        <w:rPr>
          <w:rFonts w:ascii="Open Sans" w:eastAsia="Times New Roman" w:hAnsi="Open Sans" w:cs="Open Sans"/>
          <w:color w:val="000000"/>
          <w:sz w:val="24"/>
          <w:szCs w:val="24"/>
          <w:lang w:eastAsia="en-GB"/>
        </w:rPr>
        <w:br/>
        <w:t>Date Signed ____________________________</w:t>
      </w:r>
    </w:p>
    <w:p w14:paraId="06A46D3E" w14:textId="5E50DB54" w:rsidR="008F7007" w:rsidRDefault="008F7007" w:rsidP="00622958">
      <w:pPr>
        <w:shd w:val="clear" w:color="auto" w:fill="FFFFFF"/>
        <w:spacing w:before="100" w:beforeAutospacing="1" w:after="100" w:afterAutospacing="1" w:line="240" w:lineRule="auto"/>
        <w:rPr>
          <w:rFonts w:ascii="Open Sans" w:eastAsia="Times New Roman" w:hAnsi="Open Sans" w:cs="Open Sans"/>
          <w:color w:val="000000"/>
          <w:sz w:val="24"/>
          <w:szCs w:val="24"/>
          <w:lang w:eastAsia="en-GB"/>
        </w:rPr>
      </w:pPr>
      <w:r>
        <w:rPr>
          <w:rFonts w:ascii="Open Sans" w:eastAsia="Times New Roman" w:hAnsi="Open Sans" w:cs="Open Sans"/>
          <w:color w:val="000000"/>
          <w:sz w:val="24"/>
          <w:szCs w:val="24"/>
          <w:lang w:eastAsia="en-GB"/>
        </w:rPr>
        <w:br/>
      </w:r>
      <w:r w:rsidRPr="00622958">
        <w:rPr>
          <w:rFonts w:ascii="Open Sans" w:eastAsia="Times New Roman" w:hAnsi="Open Sans" w:cs="Open Sans"/>
          <w:color w:val="000000"/>
          <w:sz w:val="24"/>
          <w:szCs w:val="24"/>
          <w:lang w:eastAsia="en-GB"/>
        </w:rPr>
        <w:br/>
      </w:r>
    </w:p>
    <w:p w14:paraId="432AF8C7" w14:textId="77777777" w:rsidR="00110AB3" w:rsidRDefault="00110AB3"/>
    <w:sectPr w:rsidR="00110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58"/>
    <w:rsid w:val="00110AB3"/>
    <w:rsid w:val="003D66E1"/>
    <w:rsid w:val="00434A3E"/>
    <w:rsid w:val="005613EC"/>
    <w:rsid w:val="00622958"/>
    <w:rsid w:val="008962C8"/>
    <w:rsid w:val="008F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54EA"/>
  <w15:chartTrackingRefBased/>
  <w15:docId w15:val="{B9E6F332-73CD-4A3A-805B-7B5B4355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29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295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229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958"/>
    <w:rPr>
      <w:b/>
      <w:bCs/>
    </w:rPr>
  </w:style>
  <w:style w:type="character" w:styleId="Emphasis">
    <w:name w:val="Emphasis"/>
    <w:basedOn w:val="DefaultParagraphFont"/>
    <w:uiPriority w:val="20"/>
    <w:qFormat/>
    <w:rsid w:val="00896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F9ECB3DB8F8428A77077400B5BFE3" ma:contentTypeVersion="4" ma:contentTypeDescription="Create a new document." ma:contentTypeScope="" ma:versionID="54b9df52737acd805ce236843367b19b">
  <xsd:schema xmlns:xsd="http://www.w3.org/2001/XMLSchema" xmlns:xs="http://www.w3.org/2001/XMLSchema" xmlns:p="http://schemas.microsoft.com/office/2006/metadata/properties" xmlns:ns3="9e7cc1a3-ee97-415b-9077-f3d500cc0712" targetNamespace="http://schemas.microsoft.com/office/2006/metadata/properties" ma:root="true" ma:fieldsID="daef9a4313e0af1a7cb1be5f3be8ba8d" ns3:_="">
    <xsd:import namespace="9e7cc1a3-ee97-415b-9077-f3d500cc0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c1a3-ee97-415b-9077-f3d500cc0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DB9C1-1F32-4064-B289-A27964FC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c1a3-ee97-415b-9077-f3d500cc0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6B0B5-4ED8-4A37-AEA8-4E3873BA1180}">
  <ds:schemaRefs>
    <ds:schemaRef ds:uri="http://schemas.microsoft.com/sharepoint/v3/contenttype/forms"/>
  </ds:schemaRefs>
</ds:datastoreItem>
</file>

<file path=customXml/itemProps3.xml><?xml version="1.0" encoding="utf-8"?>
<ds:datastoreItem xmlns:ds="http://schemas.openxmlformats.org/officeDocument/2006/customXml" ds:itemID="{21E98697-3451-4791-83C4-6E93ADE5DB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Cardy</dc:creator>
  <cp:keywords/>
  <dc:description/>
  <cp:lastModifiedBy>Jonathan Cardy</cp:lastModifiedBy>
  <cp:revision>4</cp:revision>
  <dcterms:created xsi:type="dcterms:W3CDTF">2022-12-12T09:53:00Z</dcterms:created>
  <dcterms:modified xsi:type="dcterms:W3CDTF">2022-12-29T18:18:00Z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0x010100C0DF9ECB3DB8F8428A77077400B5BFE3</vt:lpwstr>
  </property>
</Properties>
</file>